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E0" w:rsidRDefault="004509E0" w:rsidP="004509E0">
      <w:pPr>
        <w:pStyle w:val="a7"/>
        <w:jc w:val="center"/>
      </w:pPr>
      <w:r>
        <w:rPr>
          <w:rFonts w:ascii="Times New Roman" w:eastAsia="黑体" w:hAnsi="Times New Roman" w:hint="eastAsia"/>
          <w:color w:val="FF0000"/>
          <w:kern w:val="2"/>
          <w:sz w:val="72"/>
          <w:szCs w:val="18"/>
        </w:rPr>
        <w:t>天津工业大学环境科学与工程学院</w:t>
      </w:r>
    </w:p>
    <w:p w:rsidR="004509E0" w:rsidRDefault="004509E0" w:rsidP="004509E0">
      <w:pPr>
        <w:pStyle w:val="a7"/>
        <w:jc w:val="center"/>
      </w:pPr>
      <w:r>
        <w:rPr>
          <w:rFonts w:ascii="Times New Roman" w:eastAsia="黑体" w:hAnsi="Times New Roman" w:hint="eastAsia"/>
          <w:color w:val="FF0000"/>
          <w:kern w:val="2"/>
          <w:sz w:val="72"/>
          <w:szCs w:val="18"/>
        </w:rPr>
        <w:t>文</w:t>
      </w:r>
      <w:r>
        <w:rPr>
          <w:rFonts w:ascii="Times New Roman" w:eastAsia="黑体" w:hAnsi="Times New Roman" w:cs="Times New Roman"/>
          <w:color w:val="FF0000"/>
          <w:kern w:val="2"/>
          <w:sz w:val="72"/>
          <w:szCs w:val="18"/>
        </w:rPr>
        <w:t xml:space="preserve">  </w:t>
      </w:r>
      <w:r>
        <w:rPr>
          <w:rFonts w:ascii="Times New Roman" w:eastAsia="黑体" w:hAnsi="Times New Roman" w:hint="eastAsia"/>
          <w:color w:val="FF0000"/>
          <w:kern w:val="2"/>
          <w:sz w:val="72"/>
          <w:szCs w:val="18"/>
        </w:rPr>
        <w:t>件</w:t>
      </w:r>
    </w:p>
    <w:p w:rsidR="004509E0" w:rsidRDefault="004509E0" w:rsidP="004509E0">
      <w:pPr>
        <w:pStyle w:val="a7"/>
        <w:adjustRightInd w:val="0"/>
        <w:snapToGrid w:val="0"/>
        <w:spacing w:line="240" w:lineRule="atLeast"/>
        <w:jc w:val="center"/>
        <w:rPr>
          <w:rFonts w:ascii="黑体" w:eastAsia="黑体"/>
          <w:b/>
          <w:bCs/>
          <w:sz w:val="32"/>
        </w:rPr>
      </w:pPr>
      <w:r>
        <w:rPr>
          <w:rFonts w:ascii="黑体" w:eastAsia="黑体" w:hint="eastAsia"/>
          <w:b/>
          <w:bCs/>
          <w:sz w:val="32"/>
        </w:rPr>
        <w:t xml:space="preserve">  环境[</w:t>
      </w:r>
      <w:r>
        <w:rPr>
          <w:rFonts w:ascii="黑体" w:eastAsia="黑体"/>
          <w:b/>
          <w:bCs/>
          <w:sz w:val="32"/>
        </w:rPr>
        <w:t>202</w:t>
      </w:r>
      <w:r>
        <w:rPr>
          <w:rFonts w:ascii="黑体" w:eastAsia="黑体" w:hint="eastAsia"/>
          <w:b/>
          <w:bCs/>
          <w:sz w:val="32"/>
        </w:rPr>
        <w:t>1</w:t>
      </w:r>
      <w:r>
        <w:rPr>
          <w:rFonts w:ascii="黑体" w:eastAsia="黑体"/>
          <w:b/>
          <w:bCs/>
          <w:sz w:val="32"/>
        </w:rPr>
        <w:t>]</w:t>
      </w:r>
      <w:r>
        <w:rPr>
          <w:rFonts w:ascii="黑体" w:eastAsia="黑体" w:hint="eastAsia"/>
          <w:b/>
          <w:bCs/>
          <w:sz w:val="32"/>
        </w:rPr>
        <w:t xml:space="preserve"> </w:t>
      </w:r>
      <w:r>
        <w:rPr>
          <w:rFonts w:ascii="黑体" w:eastAsia="黑体"/>
          <w:b/>
          <w:bCs/>
          <w:sz w:val="32"/>
        </w:rPr>
        <w:t>12</w:t>
      </w:r>
      <w:r>
        <w:rPr>
          <w:rFonts w:ascii="黑体" w:eastAsia="黑体" w:hint="eastAsia"/>
          <w:b/>
          <w:bCs/>
          <w:sz w:val="32"/>
        </w:rPr>
        <w:t>号</w:t>
      </w:r>
    </w:p>
    <w:p w:rsidR="004509E0" w:rsidRDefault="00474E70" w:rsidP="004509E0">
      <w:pPr>
        <w:pStyle w:val="a7"/>
        <w:adjustRightInd w:val="0"/>
        <w:snapToGrid w:val="0"/>
        <w:spacing w:line="240" w:lineRule="atLeast"/>
        <w:jc w:val="center"/>
        <w:rPr>
          <w:rFonts w:ascii="方正小标宋简体" w:eastAsia="方正小标宋简体"/>
          <w:sz w:val="28"/>
          <w:szCs w:val="36"/>
        </w:rPr>
      </w:pPr>
      <w:r>
        <w:rPr>
          <w:noProof/>
        </w:rPr>
        <w:pict>
          <v:line id="直接连接符 2" o:spid="_x0000_s1026" style="position:absolute;left:0;text-align:left;z-index:251659264;visibility:visible" from="-19.3pt,31.45pt" to="453.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" strokecolor="red"/>
        </w:pict>
      </w:r>
      <w:r w:rsidR="004509E0">
        <w:rPr>
          <w:rFonts w:hint="eastAsia"/>
          <w:color w:val="FF0000"/>
          <w:sz w:val="44"/>
        </w:rPr>
        <w:t>★</w:t>
      </w:r>
    </w:p>
    <w:p w:rsidR="004509E0" w:rsidRDefault="004509E0" w:rsidP="004509E0">
      <w:pPr>
        <w:spacing w:line="560" w:lineRule="exact"/>
        <w:ind w:right="280"/>
        <w:jc w:val="right"/>
        <w:rPr>
          <w:rFonts w:ascii="方正小标宋简体" w:eastAsia="方正小标宋简体"/>
          <w:sz w:val="28"/>
          <w:szCs w:val="36"/>
        </w:rPr>
      </w:pPr>
      <w:r>
        <w:rPr>
          <w:rFonts w:ascii="方正小标宋简体" w:eastAsia="方正小标宋简体" w:hint="eastAsia"/>
          <w:sz w:val="28"/>
          <w:szCs w:val="36"/>
        </w:rPr>
        <w:t>签发人：蔡为民</w:t>
      </w:r>
    </w:p>
    <w:p w:rsidR="000F6E3A" w:rsidRDefault="00D163EF">
      <w:pPr>
        <w:widowControl/>
        <w:spacing w:line="640" w:lineRule="exact"/>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环境科学与</w:t>
      </w:r>
      <w:r>
        <w:rPr>
          <w:rFonts w:ascii="黑体" w:eastAsia="黑体" w:hAnsi="黑体" w:cs="宋体"/>
          <w:color w:val="000000"/>
          <w:kern w:val="0"/>
          <w:sz w:val="36"/>
          <w:szCs w:val="36"/>
        </w:rPr>
        <w:t>工程</w:t>
      </w:r>
      <w:r>
        <w:rPr>
          <w:rFonts w:ascii="黑体" w:eastAsia="黑体" w:hAnsi="黑体" w:cs="宋体" w:hint="eastAsia"/>
          <w:color w:val="000000"/>
          <w:kern w:val="0"/>
          <w:sz w:val="36"/>
          <w:szCs w:val="36"/>
        </w:rPr>
        <w:t>学院“课程思政”工作实施方案</w:t>
      </w:r>
    </w:p>
    <w:p w:rsidR="000F6E3A" w:rsidRDefault="00D163EF">
      <w:pPr>
        <w:widowControl/>
        <w:ind w:firstLineChars="900" w:firstLine="288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(2021年修订）</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根据《中共中央国务院关于加强和改进新形势下高校思想政治工作的意见》、《高校思想政治工作质量提升工程实施纲要》、《关于推进新时代天津高校思想政治工作改革攻坚的实施意见》等文件要求，为全面落实全国教育大会精神，结合学院实际，修订学院推进“课程思政”工作实施方案。</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一、指导思想</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以党的十九大精神和习近平新时代中国特色社会主义思想为指导，深入学习贯彻全国和天津市高校思想政治工作会议精神，落实立德树人根本任务，以思想政治教育教学改革研究为先导，以“课程思政”教学改革为突破，充分发挥课堂教学主渠道作用，把思想政治教育有机融入本科教育教</w:t>
      </w:r>
      <w:r>
        <w:rPr>
          <w:rFonts w:ascii="仿宋_GB2312" w:eastAsia="仿宋_GB2312" w:hAnsi="宋体" w:cs="宋体" w:hint="eastAsia"/>
          <w:color w:val="333333"/>
          <w:kern w:val="0"/>
          <w:sz w:val="32"/>
          <w:szCs w:val="32"/>
        </w:rPr>
        <w:lastRenderedPageBreak/>
        <w:t>学全课程、全过程，实现全员育人、全方位育人，不断提高人才培养质量。</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二、组织保障</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加强组织领导，学院党委书记和常务副院长为课程思政工作的第一责任人，教学副院长负责此项工作的调度和协调，教学办公室负责此项工作的组织和推动，各系、中心负责此项工作的建设、实施、考核与保障工作。</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三、工作目标</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根据“课程思政”的指导思想，在“课程思政”教学改革中，通过创新教育教学方式方法，将价值引领与知识传授相融合。在教学设计中，明确“课程思政”教学目标，将“课程思政”教学目标融入到教学设计，融入到学生学习任务，体现到学生的课程学习评价方案中。</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1．发挥</w:t>
      </w:r>
      <w:r>
        <w:rPr>
          <w:rFonts w:ascii="仿宋_GB2312" w:eastAsia="仿宋_GB2312" w:hAnsi="宋体" w:cs="宋体"/>
          <w:color w:val="333333"/>
          <w:kern w:val="0"/>
          <w:sz w:val="32"/>
          <w:szCs w:val="32"/>
        </w:rPr>
        <w:t>专业课程育人作用</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专业课程应当以马克思主义为指导，深入学习贯彻习近平新时代中国特色社会主义思想，坚持价值引领、能力培养和知识传授的有机融合，以社会主义核心价值观为灵魂和主线，以专业技能知识为载体，深入挖掘课程蕴含的思想政治教育资源，将思想政治教育融入课程教学全过程。</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.开发具有德育元素的特色课程</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根据学校办学定位和学科优势，组织知名教授、教学骨干、科研骨干开展具有学科特色的系列讲座，宣传环境科学</w:t>
      </w:r>
      <w:r>
        <w:rPr>
          <w:rFonts w:ascii="仿宋_GB2312" w:eastAsia="仿宋_GB2312" w:hAnsi="宋体" w:cs="宋体" w:hint="eastAsia"/>
          <w:color w:val="333333"/>
          <w:kern w:val="0"/>
          <w:sz w:val="32"/>
          <w:szCs w:val="32"/>
        </w:rPr>
        <w:lastRenderedPageBreak/>
        <w:t>领域等方面成果，使广大学生坚定“四个自信”，激发爱国主义情怀和民族自豪感。结合</w:t>
      </w:r>
      <w:r>
        <w:rPr>
          <w:rFonts w:ascii="仿宋_GB2312" w:eastAsia="仿宋_GB2312" w:hAnsi="宋体" w:cs="宋体"/>
          <w:color w:val="333333"/>
          <w:kern w:val="0"/>
          <w:sz w:val="32"/>
          <w:szCs w:val="32"/>
        </w:rPr>
        <w:t>学院学科</w:t>
      </w:r>
      <w:r>
        <w:rPr>
          <w:rFonts w:ascii="仿宋_GB2312" w:eastAsia="仿宋_GB2312" w:hAnsi="宋体" w:cs="宋体" w:hint="eastAsia"/>
          <w:color w:val="333333"/>
          <w:kern w:val="0"/>
          <w:sz w:val="32"/>
          <w:szCs w:val="32"/>
        </w:rPr>
        <w:t>竞赛</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在</w:t>
      </w:r>
      <w:r>
        <w:rPr>
          <w:rFonts w:ascii="仿宋_GB2312" w:eastAsia="仿宋_GB2312" w:hAnsi="宋体" w:cs="宋体"/>
          <w:color w:val="333333"/>
          <w:kern w:val="0"/>
          <w:sz w:val="32"/>
          <w:szCs w:val="32"/>
        </w:rPr>
        <w:t>提高大学生实践创新能力的同</w:t>
      </w:r>
      <w:r>
        <w:rPr>
          <w:rFonts w:ascii="仿宋_GB2312" w:eastAsia="仿宋_GB2312" w:hAnsi="宋体" w:cs="宋体" w:hint="eastAsia"/>
          <w:color w:val="333333"/>
          <w:kern w:val="0"/>
          <w:sz w:val="32"/>
          <w:szCs w:val="32"/>
        </w:rPr>
        <w:t>时</w:t>
      </w:r>
      <w:r>
        <w:rPr>
          <w:rFonts w:ascii="仿宋_GB2312" w:eastAsia="仿宋_GB2312" w:hAnsi="宋体" w:cs="宋体"/>
          <w:color w:val="333333"/>
          <w:kern w:val="0"/>
          <w:sz w:val="32"/>
          <w:szCs w:val="32"/>
        </w:rPr>
        <w:t>，培养学生的团队合作精神，发挥第二课堂的育人功能。</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四、工作措施</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修订培养方案。以学校“双一流”建设为契机，在修订学院本科专业人才培养方案过程中，要求培养方案中须明确体现习近平新时代中国特色社会主义思想和十九大精神，把落实立德树人的根本任务，培育和践行社会主义核心价值观融入才培养方案。</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制订课程教学大纲。根据本科教学人才培养方案和“课程思政”建设要求，修订课程教学大纲，要求充分梳理各门专业课程所蕴含的思想政治教育元素和所承载的思想政治教育功能，融入课堂教学各环节，根据课程性质设计相应教学环节，并将“课程思政”元素融入到学生的学习任务中，体现在学习评价方案中。</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修订授课教案。形成一体化反映课程教学大纲、课程教学方法等思政内容的授课教案和教学文档。教案要与时俱进，紧跟时代潮流，在课堂教学中体现我国科技进步、经济转型、社会发展、专业前沿等内容，并在课堂上展开讲授。</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.教学方法改革。探索“课程思政”多元化教学方法，将价值引领与知识传授相融合，依托在线课程建设网络平台，</w:t>
      </w:r>
      <w:r>
        <w:rPr>
          <w:rFonts w:ascii="仿宋_GB2312" w:eastAsia="仿宋_GB2312" w:hAnsi="宋体" w:cs="宋体" w:hint="eastAsia"/>
          <w:color w:val="333333"/>
          <w:kern w:val="0"/>
          <w:sz w:val="32"/>
          <w:szCs w:val="32"/>
        </w:rPr>
        <w:lastRenderedPageBreak/>
        <w:t>采用专题式、案例式等多种教学方法，潜移默化地将“课程思政”教学目标融入到教学设计中，融入到学生学习任务中，注重改革课程考核方式方法。</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.加强教学团队建设。教学团队要形成梯队，明确团队教师的选拔要求和育人责任，参与教学建设的推进、交流活动，开展“课程思政”建设改革的教研活动。</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.典型案例总结。总结“课程思政”成效好、反响佳的教学案例，形成参考性强、推广价值高的典型案例，为提升课程育人效果提供借鉴。</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7.加强市、校级课程思政示范课、课程思政教改项目等建设工作，定期总结交流建设成果，共享建设成效，发挥示范引领作用。</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8.建立健全相关规章制度。对学院教育教学相关类文件进行修订，明确将习近平新时代中国特色社会主义思想和十九大精神融入教育教学全过程，全面贯彻党的教育方针，坚持社会主义办学方向，落实立德树人根本任务。</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五、考核评价</w:t>
      </w:r>
    </w:p>
    <w:p w:rsidR="000F6E3A" w:rsidRDefault="00D163EF">
      <w:pPr>
        <w:widowControl/>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把思想政治教育融入教学各环节之中，是高校立德树人的必然要求和教师的本职所在，充分运用好课堂，落实高校“三全育人”的重任，强化本科教育着力，切实提高课程教学质量、完善课程评价考核体系，有机融合思想政治教育成效，合理有效实施本科教育课程考核。</w:t>
      </w:r>
    </w:p>
    <w:p w:rsidR="000F6E3A" w:rsidRDefault="00D163EF">
      <w:pPr>
        <w:widowControl/>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附：“课程思政”课程评价考核标准</w:t>
      </w:r>
    </w:p>
    <w:p w:rsidR="000F6E3A" w:rsidRDefault="000F6E3A">
      <w:pPr>
        <w:widowControl/>
        <w:ind w:firstLineChars="200" w:firstLine="640"/>
        <w:rPr>
          <w:rFonts w:ascii="仿宋_GB2312" w:eastAsia="仿宋_GB2312" w:hAnsi="宋体" w:cs="宋体"/>
          <w:color w:val="333333"/>
          <w:kern w:val="0"/>
          <w:sz w:val="32"/>
          <w:szCs w:val="32"/>
        </w:rPr>
      </w:pPr>
    </w:p>
    <w:p w:rsidR="000F6E3A" w:rsidRDefault="000F6E3A">
      <w:pPr>
        <w:widowControl/>
        <w:ind w:firstLineChars="200" w:firstLine="640"/>
        <w:rPr>
          <w:rFonts w:ascii="仿宋_GB2312" w:eastAsia="仿宋_GB2312" w:hAnsi="宋体" w:cs="宋体"/>
          <w:color w:val="333333"/>
          <w:kern w:val="0"/>
          <w:sz w:val="32"/>
          <w:szCs w:val="32"/>
        </w:rPr>
      </w:pPr>
    </w:p>
    <w:p w:rsidR="000F6E3A" w:rsidRDefault="00D163EF" w:rsidP="00230937">
      <w:pPr>
        <w:widowControl/>
        <w:ind w:firstLineChars="200" w:firstLine="640"/>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环境科学与工程学院</w:t>
      </w:r>
    </w:p>
    <w:p w:rsidR="000F6E3A" w:rsidRDefault="00D163EF" w:rsidP="00230937">
      <w:pPr>
        <w:widowControl/>
        <w:ind w:firstLineChars="200" w:firstLine="640"/>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2021年9月</w:t>
      </w:r>
    </w:p>
    <w:p w:rsidR="009E5D79" w:rsidRDefault="009E5D79">
      <w:pPr>
        <w:widowControl/>
        <w:jc w:val="left"/>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br w:type="page"/>
      </w:r>
    </w:p>
    <w:p w:rsidR="009E5D79" w:rsidRDefault="009E5D79" w:rsidP="009E5D79">
      <w:pPr>
        <w:jc w:val="center"/>
      </w:pPr>
      <w:r>
        <w:rPr>
          <w:rFonts w:ascii="黑体" w:eastAsia="黑体" w:hAnsi="黑体" w:cs="黑体" w:hint="eastAsia"/>
          <w:sz w:val="24"/>
          <w:szCs w:val="24"/>
        </w:rPr>
        <w:lastRenderedPageBreak/>
        <w:t>“课程思政”课程评价考核标准</w:t>
      </w:r>
    </w:p>
    <w:tbl>
      <w:tblPr>
        <w:tblStyle w:val="a8"/>
        <w:tblpPr w:leftFromText="180" w:rightFromText="180" w:vertAnchor="page" w:horzAnchor="page" w:tblpX="1980" w:tblpY="1938"/>
        <w:tblOverlap w:val="never"/>
        <w:tblW w:w="0" w:type="auto"/>
        <w:tblLayout w:type="fixed"/>
        <w:tblLook w:val="04A0" w:firstRow="1" w:lastRow="0" w:firstColumn="1" w:lastColumn="0" w:noHBand="0" w:noVBand="1"/>
      </w:tblPr>
      <w:tblGrid>
        <w:gridCol w:w="1096"/>
        <w:gridCol w:w="5160"/>
        <w:gridCol w:w="705"/>
        <w:gridCol w:w="1231"/>
      </w:tblGrid>
      <w:tr w:rsidR="009E5D79" w:rsidTr="00746864">
        <w:trPr>
          <w:trHeight w:val="484"/>
        </w:trPr>
        <w:tc>
          <w:tcPr>
            <w:tcW w:w="1096" w:type="dxa"/>
            <w:vAlign w:val="bottom"/>
          </w:tcPr>
          <w:p w:rsidR="009E5D79" w:rsidRDefault="009E5D79" w:rsidP="00746864">
            <w:pPr>
              <w:jc w:val="center"/>
              <w:rPr>
                <w:rFonts w:ascii="黑体" w:eastAsia="黑体" w:hAnsi="黑体" w:cs="黑体"/>
              </w:rPr>
            </w:pPr>
            <w:r>
              <w:rPr>
                <w:rFonts w:ascii="黑体" w:eastAsia="黑体" w:hAnsi="黑体" w:cs="黑体" w:hint="eastAsia"/>
              </w:rPr>
              <w:t>评价指标</w:t>
            </w:r>
          </w:p>
        </w:tc>
        <w:tc>
          <w:tcPr>
            <w:tcW w:w="5160" w:type="dxa"/>
            <w:vAlign w:val="bottom"/>
          </w:tcPr>
          <w:p w:rsidR="009E5D79" w:rsidRDefault="009E5D79" w:rsidP="00746864">
            <w:pPr>
              <w:jc w:val="center"/>
              <w:rPr>
                <w:rFonts w:ascii="黑体" w:eastAsia="黑体" w:hAnsi="黑体" w:cs="黑体"/>
              </w:rPr>
            </w:pPr>
            <w:r>
              <w:rPr>
                <w:rFonts w:ascii="黑体" w:eastAsia="黑体" w:hAnsi="黑体" w:cs="黑体" w:hint="eastAsia"/>
              </w:rPr>
              <w:t>评价内容</w:t>
            </w:r>
          </w:p>
        </w:tc>
        <w:tc>
          <w:tcPr>
            <w:tcW w:w="705" w:type="dxa"/>
            <w:vAlign w:val="bottom"/>
          </w:tcPr>
          <w:p w:rsidR="009E5D79" w:rsidRDefault="009E5D79" w:rsidP="00746864">
            <w:pPr>
              <w:jc w:val="center"/>
              <w:rPr>
                <w:rFonts w:ascii="黑体" w:eastAsia="黑体" w:hAnsi="黑体" w:cs="黑体"/>
              </w:rPr>
            </w:pPr>
            <w:r>
              <w:rPr>
                <w:rFonts w:ascii="黑体" w:eastAsia="黑体" w:hAnsi="黑体" w:cs="黑体" w:hint="eastAsia"/>
              </w:rPr>
              <w:t>分值</w:t>
            </w:r>
          </w:p>
        </w:tc>
        <w:tc>
          <w:tcPr>
            <w:tcW w:w="1231" w:type="dxa"/>
            <w:vAlign w:val="bottom"/>
          </w:tcPr>
          <w:p w:rsidR="009E5D79" w:rsidRDefault="009E5D79" w:rsidP="00746864">
            <w:pPr>
              <w:jc w:val="center"/>
              <w:rPr>
                <w:rFonts w:ascii="黑体" w:eastAsia="黑体" w:hAnsi="黑体" w:cs="黑体"/>
              </w:rPr>
            </w:pPr>
            <w:r>
              <w:rPr>
                <w:rFonts w:ascii="黑体" w:eastAsia="黑体" w:hAnsi="黑体" w:cs="黑体" w:hint="eastAsia"/>
              </w:rPr>
              <w:t>评分依据</w:t>
            </w:r>
          </w:p>
        </w:tc>
      </w:tr>
      <w:tr w:rsidR="009E5D79" w:rsidTr="00746864">
        <w:trPr>
          <w:trHeight w:val="1673"/>
        </w:trPr>
        <w:tc>
          <w:tcPr>
            <w:tcW w:w="1096" w:type="dxa"/>
          </w:tcPr>
          <w:p w:rsidR="009E5D79" w:rsidRDefault="009E5D79" w:rsidP="00746864">
            <w:r>
              <w:rPr>
                <w:rFonts w:hint="eastAsia"/>
              </w:rPr>
              <w:t>课程目标与要求</w:t>
            </w:r>
          </w:p>
        </w:tc>
        <w:tc>
          <w:tcPr>
            <w:tcW w:w="5160" w:type="dxa"/>
          </w:tcPr>
          <w:p w:rsidR="009E5D79" w:rsidRDefault="009E5D79" w:rsidP="00746864">
            <w:r>
              <w:rPr>
                <w:rFonts w:hint="eastAsia"/>
              </w:rPr>
              <w:t>1.</w:t>
            </w:r>
            <w:r>
              <w:rPr>
                <w:rFonts w:hint="eastAsia"/>
              </w:rPr>
              <w:t>结合人才培养要求，有明确的、与学生毕业要求相适应的课程知识、能力教学要求。</w:t>
            </w:r>
          </w:p>
          <w:p w:rsidR="009E5D79" w:rsidRDefault="009E5D79" w:rsidP="00746864">
            <w:r>
              <w:rPr>
                <w:rFonts w:hint="eastAsia"/>
              </w:rPr>
              <w:t>2.</w:t>
            </w:r>
            <w:r>
              <w:rPr>
                <w:rFonts w:hint="eastAsia"/>
              </w:rPr>
              <w:t>能紧密结合课程教学目标，将思想政治教育与专业知识技能教学有机融合，寓价值观引导知识传授和能力培养之中，实现课程主战场、课堂主渠道作用。</w:t>
            </w:r>
          </w:p>
          <w:p w:rsidR="009E5D79" w:rsidRDefault="009E5D79" w:rsidP="00746864">
            <w:r>
              <w:rPr>
                <w:rFonts w:hint="eastAsia"/>
              </w:rPr>
              <w:t>3.</w:t>
            </w:r>
            <w:r>
              <w:rPr>
                <w:rFonts w:hint="eastAsia"/>
              </w:rPr>
              <w:t>课程目标描述清晰、具体、可检测。</w:t>
            </w:r>
          </w:p>
        </w:tc>
        <w:tc>
          <w:tcPr>
            <w:tcW w:w="705" w:type="dxa"/>
          </w:tcPr>
          <w:p w:rsidR="009E5D79" w:rsidRDefault="009E5D79" w:rsidP="00746864">
            <w:r>
              <w:rPr>
                <w:rFonts w:hint="eastAsia"/>
              </w:rPr>
              <w:t>15</w:t>
            </w:r>
          </w:p>
        </w:tc>
        <w:tc>
          <w:tcPr>
            <w:tcW w:w="1231" w:type="dxa"/>
          </w:tcPr>
          <w:p w:rsidR="009E5D79" w:rsidRDefault="009E5D79" w:rsidP="00746864">
            <w:r>
              <w:rPr>
                <w:rFonts w:hint="eastAsia"/>
              </w:rPr>
              <w:t>教学大纲</w:t>
            </w:r>
          </w:p>
        </w:tc>
      </w:tr>
      <w:tr w:rsidR="009E5D79" w:rsidTr="00746864">
        <w:trPr>
          <w:trHeight w:val="1658"/>
        </w:trPr>
        <w:tc>
          <w:tcPr>
            <w:tcW w:w="1096" w:type="dxa"/>
          </w:tcPr>
          <w:p w:rsidR="009E5D79" w:rsidRDefault="009E5D79" w:rsidP="00746864">
            <w:pPr>
              <w:rPr>
                <w:szCs w:val="24"/>
              </w:rPr>
            </w:pPr>
            <w:r>
              <w:rPr>
                <w:rFonts w:hint="eastAsia"/>
              </w:rPr>
              <w:t>课程内容与资源</w:t>
            </w:r>
          </w:p>
        </w:tc>
        <w:tc>
          <w:tcPr>
            <w:tcW w:w="5160" w:type="dxa"/>
          </w:tcPr>
          <w:p w:rsidR="009E5D79" w:rsidRDefault="009E5D79" w:rsidP="00746864">
            <w:r>
              <w:rPr>
                <w:rFonts w:hint="eastAsia"/>
              </w:rPr>
              <w:t>1.</w:t>
            </w:r>
            <w:r>
              <w:rPr>
                <w:rFonts w:hint="eastAsia"/>
              </w:rPr>
              <w:t>教学内容与教学目标相适应，体现现代教育思想，符合科学性、先进性和教育教学规律。</w:t>
            </w:r>
          </w:p>
          <w:p w:rsidR="009E5D79" w:rsidRDefault="009E5D79" w:rsidP="00746864">
            <w:r>
              <w:rPr>
                <w:rFonts w:hint="eastAsia"/>
              </w:rPr>
              <w:t>2.</w:t>
            </w:r>
            <w:r>
              <w:rPr>
                <w:rFonts w:hint="eastAsia"/>
              </w:rPr>
              <w:t>课程内容能有机融入理想信念教育、社会主义核心价值观、中华优秀传统文化教育、法制教育、劳动教育、职业理想与道德教育等内容，形成若干个典型的设计恰当的教学案例，思政元素丰富，能够实现知识传授与价值引领相充一，教书与育人相统一。</w:t>
            </w:r>
          </w:p>
          <w:p w:rsidR="009E5D79" w:rsidRDefault="009E5D79" w:rsidP="00746864">
            <w:r>
              <w:rPr>
                <w:rFonts w:hint="eastAsia"/>
              </w:rPr>
              <w:t>3.</w:t>
            </w:r>
            <w:r>
              <w:rPr>
                <w:rFonts w:hint="eastAsia"/>
              </w:rPr>
              <w:t>选用教材符合课程思政教学要求，能够为学生提供不同类型，且与课程内容紧密结合、有学习价值的课程学习资源与参考资料。</w:t>
            </w:r>
          </w:p>
          <w:p w:rsidR="009E5D79" w:rsidRDefault="009E5D79" w:rsidP="00746864">
            <w:r>
              <w:rPr>
                <w:rFonts w:hint="eastAsia"/>
              </w:rPr>
              <w:t>4.</w:t>
            </w:r>
            <w:r>
              <w:rPr>
                <w:rFonts w:hint="eastAsia"/>
              </w:rPr>
              <w:t>课程内容重点突出、条例清晰、资源丰富、润物无声。</w:t>
            </w:r>
          </w:p>
        </w:tc>
        <w:tc>
          <w:tcPr>
            <w:tcW w:w="705" w:type="dxa"/>
          </w:tcPr>
          <w:p w:rsidR="009E5D79" w:rsidRDefault="009E5D79" w:rsidP="00746864">
            <w:r>
              <w:rPr>
                <w:rFonts w:hint="eastAsia"/>
              </w:rPr>
              <w:t>30</w:t>
            </w:r>
          </w:p>
        </w:tc>
        <w:tc>
          <w:tcPr>
            <w:tcW w:w="1231" w:type="dxa"/>
          </w:tcPr>
          <w:p w:rsidR="009E5D79" w:rsidRDefault="009E5D79" w:rsidP="00746864">
            <w:r>
              <w:rPr>
                <w:rFonts w:hint="eastAsia"/>
              </w:rPr>
              <w:t>教学大纲及相关材料</w:t>
            </w:r>
          </w:p>
        </w:tc>
      </w:tr>
      <w:tr w:rsidR="009E5D79" w:rsidTr="00746864">
        <w:trPr>
          <w:trHeight w:val="1277"/>
        </w:trPr>
        <w:tc>
          <w:tcPr>
            <w:tcW w:w="1096" w:type="dxa"/>
          </w:tcPr>
          <w:p w:rsidR="009E5D79" w:rsidRDefault="009E5D79" w:rsidP="00746864">
            <w:r>
              <w:rPr>
                <w:rFonts w:hint="eastAsia"/>
              </w:rPr>
              <w:t>课程设计与实施</w:t>
            </w:r>
          </w:p>
        </w:tc>
        <w:tc>
          <w:tcPr>
            <w:tcW w:w="5160" w:type="dxa"/>
          </w:tcPr>
          <w:p w:rsidR="009E5D79" w:rsidRDefault="009E5D79" w:rsidP="00746864">
            <w:r>
              <w:rPr>
                <w:rFonts w:hint="eastAsia"/>
              </w:rPr>
              <w:t>1.</w:t>
            </w:r>
            <w:r>
              <w:rPr>
                <w:rFonts w:hint="eastAsia"/>
              </w:rPr>
              <w:t>坚持学生中心理念，能够根据学科特点、教学内容和学生特征采用合适的教学策略和教学方法。</w:t>
            </w:r>
          </w:p>
          <w:p w:rsidR="009E5D79" w:rsidRDefault="009E5D79" w:rsidP="00746864">
            <w:r>
              <w:rPr>
                <w:rFonts w:hint="eastAsia"/>
              </w:rPr>
              <w:t>2.</w:t>
            </w:r>
            <w:r>
              <w:rPr>
                <w:rFonts w:hint="eastAsia"/>
              </w:rPr>
              <w:t>能有效调动学生思维和学习积极性，启发性强，体现师生互动和生生互动。能够运用现代信息技术手段，教学过程结构自然流畅，组织合理，满足学生学习需求。</w:t>
            </w:r>
          </w:p>
          <w:p w:rsidR="009E5D79" w:rsidRDefault="009E5D79" w:rsidP="00746864">
            <w:r>
              <w:rPr>
                <w:rFonts w:hint="eastAsia"/>
              </w:rPr>
              <w:t>3.</w:t>
            </w:r>
            <w:r>
              <w:rPr>
                <w:rFonts w:hint="eastAsia"/>
              </w:rPr>
              <w:t>注重多种教学方法的优化组合，能挖掘课程教学方式中所蕴含的思政元素，巧妙地融入课堂授课、实验实训、作业评价等教学过程中，提高教书与育人融合度。</w:t>
            </w:r>
          </w:p>
          <w:p w:rsidR="009E5D79" w:rsidRDefault="009E5D79" w:rsidP="00746864">
            <w:r>
              <w:rPr>
                <w:rFonts w:hint="eastAsia"/>
              </w:rPr>
              <w:t>4.</w:t>
            </w:r>
            <w:r>
              <w:rPr>
                <w:rFonts w:hint="eastAsia"/>
              </w:rPr>
              <w:t>课程设计巧妙，教学进度适宜，方法运用灵活、怡当。</w:t>
            </w:r>
          </w:p>
        </w:tc>
        <w:tc>
          <w:tcPr>
            <w:tcW w:w="705" w:type="dxa"/>
          </w:tcPr>
          <w:p w:rsidR="009E5D79" w:rsidRDefault="009E5D79" w:rsidP="00746864">
            <w:r>
              <w:rPr>
                <w:rFonts w:hint="eastAsia"/>
              </w:rPr>
              <w:t>30</w:t>
            </w:r>
          </w:p>
        </w:tc>
        <w:tc>
          <w:tcPr>
            <w:tcW w:w="1231" w:type="dxa"/>
          </w:tcPr>
          <w:p w:rsidR="009E5D79" w:rsidRDefault="009E5D79" w:rsidP="00746864">
            <w:r>
              <w:rPr>
                <w:rFonts w:hint="eastAsia"/>
              </w:rPr>
              <w:t>教学督导听课、评教及相关材料</w:t>
            </w:r>
          </w:p>
        </w:tc>
      </w:tr>
      <w:tr w:rsidR="009E5D79" w:rsidTr="00746864">
        <w:trPr>
          <w:trHeight w:val="1678"/>
        </w:trPr>
        <w:tc>
          <w:tcPr>
            <w:tcW w:w="1096" w:type="dxa"/>
          </w:tcPr>
          <w:p w:rsidR="009E5D79" w:rsidRDefault="009E5D79" w:rsidP="00746864">
            <w:r>
              <w:rPr>
                <w:rFonts w:hint="eastAsia"/>
              </w:rPr>
              <w:t>效果评价</w:t>
            </w:r>
          </w:p>
        </w:tc>
        <w:tc>
          <w:tcPr>
            <w:tcW w:w="5160" w:type="dxa"/>
          </w:tcPr>
          <w:p w:rsidR="009E5D79" w:rsidRDefault="009E5D79" w:rsidP="00746864">
            <w:r>
              <w:rPr>
                <w:rFonts w:hint="eastAsia"/>
              </w:rPr>
              <w:t>1.</w:t>
            </w:r>
            <w:r>
              <w:rPr>
                <w:rFonts w:hint="eastAsia"/>
              </w:rPr>
              <w:t>教学效果的测量和评价方法得当，能够体现形成性评价的要素。</w:t>
            </w:r>
          </w:p>
          <w:p w:rsidR="009E5D79" w:rsidRDefault="009E5D79" w:rsidP="00746864">
            <w:r>
              <w:rPr>
                <w:rFonts w:hint="eastAsia"/>
              </w:rPr>
              <w:t>2.</w:t>
            </w:r>
            <w:r>
              <w:rPr>
                <w:rFonts w:hint="eastAsia"/>
              </w:rPr>
              <w:t>德育功能突出，感染力强，效果明显，能充分激发学生的认同感。</w:t>
            </w:r>
          </w:p>
          <w:p w:rsidR="009E5D79" w:rsidRDefault="009E5D79" w:rsidP="00746864">
            <w:r>
              <w:rPr>
                <w:rFonts w:hint="eastAsia"/>
              </w:rPr>
              <w:t>3.</w:t>
            </w:r>
            <w:r>
              <w:rPr>
                <w:rFonts w:hint="eastAsia"/>
              </w:rPr>
              <w:t>学生对课程的满意度高、获得感强。</w:t>
            </w:r>
          </w:p>
        </w:tc>
        <w:tc>
          <w:tcPr>
            <w:tcW w:w="705" w:type="dxa"/>
          </w:tcPr>
          <w:p w:rsidR="009E5D79" w:rsidRDefault="009E5D79" w:rsidP="00746864">
            <w:r>
              <w:rPr>
                <w:rFonts w:hint="eastAsia"/>
              </w:rPr>
              <w:t>15</w:t>
            </w:r>
          </w:p>
        </w:tc>
        <w:tc>
          <w:tcPr>
            <w:tcW w:w="1231" w:type="dxa"/>
          </w:tcPr>
          <w:p w:rsidR="009E5D79" w:rsidRDefault="009E5D79" w:rsidP="00746864">
            <w:r>
              <w:rPr>
                <w:rFonts w:hint="eastAsia"/>
              </w:rPr>
              <w:t>学生评教、成绩考核</w:t>
            </w:r>
          </w:p>
        </w:tc>
      </w:tr>
      <w:tr w:rsidR="009E5D79" w:rsidTr="00746864">
        <w:trPr>
          <w:trHeight w:val="2302"/>
        </w:trPr>
        <w:tc>
          <w:tcPr>
            <w:tcW w:w="1096" w:type="dxa"/>
          </w:tcPr>
          <w:p w:rsidR="009E5D79" w:rsidRDefault="009E5D79" w:rsidP="00746864">
            <w:r>
              <w:rPr>
                <w:rFonts w:hint="eastAsia"/>
              </w:rPr>
              <w:t>教师素养</w:t>
            </w:r>
          </w:p>
        </w:tc>
        <w:tc>
          <w:tcPr>
            <w:tcW w:w="5160" w:type="dxa"/>
          </w:tcPr>
          <w:p w:rsidR="009E5D79" w:rsidRDefault="009E5D79" w:rsidP="00746864">
            <w:r>
              <w:rPr>
                <w:rFonts w:hint="eastAsia"/>
              </w:rPr>
              <w:t>1.</w:t>
            </w:r>
            <w:r>
              <w:rPr>
                <w:rFonts w:hint="eastAsia"/>
              </w:rPr>
              <w:t>具有良好的专业素养、科学精神、人文关怀和马克思主义理论功底，善于提炼专业课程藴含的育人因素。</w:t>
            </w:r>
          </w:p>
          <w:p w:rsidR="009E5D79" w:rsidRDefault="009E5D79" w:rsidP="00746864">
            <w:r>
              <w:rPr>
                <w:rFonts w:hint="eastAsia"/>
              </w:rPr>
              <w:t>2.</w:t>
            </w:r>
            <w:r>
              <w:rPr>
                <w:rFonts w:hint="eastAsia"/>
              </w:rPr>
              <w:t>教态大方，精神饱满，亲和力强</w:t>
            </w:r>
            <w:r>
              <w:rPr>
                <w:rFonts w:hint="eastAsia"/>
              </w:rPr>
              <w:t>;</w:t>
            </w:r>
            <w:r>
              <w:rPr>
                <w:rFonts w:hint="eastAsia"/>
              </w:rPr>
              <w:t>思路清晰，逻辑严谨，综合素质高。</w:t>
            </w:r>
          </w:p>
          <w:p w:rsidR="009E5D79" w:rsidRDefault="009E5D79" w:rsidP="00746864">
            <w:r>
              <w:rPr>
                <w:rFonts w:hint="eastAsia"/>
              </w:rPr>
              <w:t>3.</w:t>
            </w:r>
            <w:r>
              <w:rPr>
                <w:rFonts w:hint="eastAsia"/>
              </w:rPr>
              <w:t>教学投入，理论功底扎实、教学内容熟悉，教育理念先进，潜心教学研究与改革，注重思想理论教育和价值引领。</w:t>
            </w:r>
          </w:p>
        </w:tc>
        <w:tc>
          <w:tcPr>
            <w:tcW w:w="705" w:type="dxa"/>
          </w:tcPr>
          <w:p w:rsidR="009E5D79" w:rsidRDefault="009E5D79" w:rsidP="00746864">
            <w:r>
              <w:rPr>
                <w:rFonts w:hint="eastAsia"/>
              </w:rPr>
              <w:t>10</w:t>
            </w:r>
          </w:p>
        </w:tc>
        <w:tc>
          <w:tcPr>
            <w:tcW w:w="1231" w:type="dxa"/>
          </w:tcPr>
          <w:p w:rsidR="009E5D79" w:rsidRDefault="009E5D79" w:rsidP="00746864">
            <w:r>
              <w:rPr>
                <w:rFonts w:hint="eastAsia"/>
              </w:rPr>
              <w:t>听课及师德师风考核情况</w:t>
            </w:r>
          </w:p>
        </w:tc>
      </w:tr>
    </w:tbl>
    <w:p w:rsidR="000F6E3A" w:rsidRPr="009E5D79" w:rsidRDefault="000F6E3A" w:rsidP="009E5D79">
      <w:pPr>
        <w:widowControl/>
        <w:jc w:val="left"/>
        <w:rPr>
          <w:rFonts w:ascii="仿宋_GB2312" w:eastAsia="仿宋_GB2312" w:hAnsi="宋体" w:cs="宋体"/>
          <w:color w:val="333333"/>
          <w:kern w:val="0"/>
          <w:sz w:val="32"/>
          <w:szCs w:val="32"/>
        </w:rPr>
      </w:pPr>
      <w:bookmarkStart w:id="0" w:name="_GoBack"/>
      <w:bookmarkEnd w:id="0"/>
    </w:p>
    <w:sectPr w:rsidR="000F6E3A" w:rsidRPr="009E5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70" w:rsidRDefault="00474E70" w:rsidP="00230937">
      <w:r>
        <w:separator/>
      </w:r>
    </w:p>
  </w:endnote>
  <w:endnote w:type="continuationSeparator" w:id="0">
    <w:p w:rsidR="00474E70" w:rsidRDefault="00474E70" w:rsidP="0023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70" w:rsidRDefault="00474E70" w:rsidP="00230937">
      <w:r>
        <w:separator/>
      </w:r>
    </w:p>
  </w:footnote>
  <w:footnote w:type="continuationSeparator" w:id="0">
    <w:p w:rsidR="00474E70" w:rsidRDefault="00474E70" w:rsidP="0023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C49"/>
    <w:rsid w:val="00047426"/>
    <w:rsid w:val="000754FC"/>
    <w:rsid w:val="000C15DD"/>
    <w:rsid w:val="000E6443"/>
    <w:rsid w:val="000F6E3A"/>
    <w:rsid w:val="00213A1F"/>
    <w:rsid w:val="00222F46"/>
    <w:rsid w:val="00230937"/>
    <w:rsid w:val="00281130"/>
    <w:rsid w:val="0029323E"/>
    <w:rsid w:val="002A3849"/>
    <w:rsid w:val="002B0D0A"/>
    <w:rsid w:val="002F5586"/>
    <w:rsid w:val="0033399F"/>
    <w:rsid w:val="003427EE"/>
    <w:rsid w:val="00374E04"/>
    <w:rsid w:val="004509E0"/>
    <w:rsid w:val="00474E70"/>
    <w:rsid w:val="004A25E8"/>
    <w:rsid w:val="00502E8E"/>
    <w:rsid w:val="00533045"/>
    <w:rsid w:val="005A186C"/>
    <w:rsid w:val="005B4D70"/>
    <w:rsid w:val="005D7A95"/>
    <w:rsid w:val="006321A3"/>
    <w:rsid w:val="006627A2"/>
    <w:rsid w:val="006939CB"/>
    <w:rsid w:val="00696951"/>
    <w:rsid w:val="006D0F4B"/>
    <w:rsid w:val="00706FAD"/>
    <w:rsid w:val="00721640"/>
    <w:rsid w:val="007750C5"/>
    <w:rsid w:val="00790C49"/>
    <w:rsid w:val="007D7C8B"/>
    <w:rsid w:val="007E6503"/>
    <w:rsid w:val="008E0062"/>
    <w:rsid w:val="0091642C"/>
    <w:rsid w:val="00933F75"/>
    <w:rsid w:val="009E5D79"/>
    <w:rsid w:val="00A8689F"/>
    <w:rsid w:val="00AD0D69"/>
    <w:rsid w:val="00AD2171"/>
    <w:rsid w:val="00B97909"/>
    <w:rsid w:val="00BA7CFB"/>
    <w:rsid w:val="00BF6085"/>
    <w:rsid w:val="00CA7D85"/>
    <w:rsid w:val="00CB6FB8"/>
    <w:rsid w:val="00CF08A0"/>
    <w:rsid w:val="00D163EF"/>
    <w:rsid w:val="00E04165"/>
    <w:rsid w:val="00E57488"/>
    <w:rsid w:val="00EC19D1"/>
    <w:rsid w:val="00ED0254"/>
    <w:rsid w:val="00F0031E"/>
    <w:rsid w:val="00F018B6"/>
    <w:rsid w:val="00F14975"/>
    <w:rsid w:val="00F475AA"/>
    <w:rsid w:val="00FB0E52"/>
    <w:rsid w:val="01B672E6"/>
    <w:rsid w:val="092A2FC2"/>
    <w:rsid w:val="11600044"/>
    <w:rsid w:val="17C475B7"/>
    <w:rsid w:val="1DC06980"/>
    <w:rsid w:val="228264B6"/>
    <w:rsid w:val="247B55D1"/>
    <w:rsid w:val="24917494"/>
    <w:rsid w:val="278633C1"/>
    <w:rsid w:val="289740DD"/>
    <w:rsid w:val="29C005CA"/>
    <w:rsid w:val="2A076DF2"/>
    <w:rsid w:val="2CD2122B"/>
    <w:rsid w:val="37FF1B01"/>
    <w:rsid w:val="42E14A38"/>
    <w:rsid w:val="48CC3B8B"/>
    <w:rsid w:val="625E0BFE"/>
    <w:rsid w:val="62E27390"/>
    <w:rsid w:val="65341E35"/>
    <w:rsid w:val="6B150346"/>
    <w:rsid w:val="72EA7CBA"/>
    <w:rsid w:val="79023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DC8CBF-CAB3-497E-A2EA-A0341924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423</Words>
  <Characters>2416</Characters>
  <Application>Microsoft Office Word</Application>
  <DocSecurity>0</DocSecurity>
  <Lines>20</Lines>
  <Paragraphs>5</Paragraphs>
  <ScaleCrop>false</ScaleCrop>
  <Company>Microsoft</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郭翠娟</dc:creator>
  <cp:lastModifiedBy>hhjxb211@126.com</cp:lastModifiedBy>
  <cp:revision>31</cp:revision>
  <cp:lastPrinted>2021-09-06T09:07:00Z</cp:lastPrinted>
  <dcterms:created xsi:type="dcterms:W3CDTF">2019-10-30T08:27:00Z</dcterms:created>
  <dcterms:modified xsi:type="dcterms:W3CDTF">2021-10-19T06:35:00Z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477E3BBCB86B4E73B863979FF8EF8860</vt:lpwstr>
  </property>
</Properties>
</file>